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3D" w:rsidRPr="00427014" w:rsidRDefault="0024283D" w:rsidP="0024283D">
      <w:pPr>
        <w:pStyle w:val="a6"/>
        <w:spacing w:line="560" w:lineRule="exact"/>
        <w:rPr>
          <w:rFonts w:ascii="仿宋_GB2312" w:eastAsia="仿宋_GB2312" w:hAnsi="黑体" w:cs="Times New Roman"/>
          <w:sz w:val="32"/>
          <w:szCs w:val="32"/>
        </w:rPr>
      </w:pPr>
      <w:bookmarkStart w:id="0" w:name="_GoBack"/>
      <w:bookmarkEnd w:id="0"/>
      <w:r w:rsidRPr="00427014">
        <w:rPr>
          <w:rFonts w:ascii="仿宋_GB2312" w:eastAsia="仿宋_GB2312" w:hAnsi="黑体" w:cs="Times New Roman" w:hint="eastAsia"/>
          <w:sz w:val="32"/>
          <w:szCs w:val="32"/>
        </w:rPr>
        <w:t>附件</w:t>
      </w:r>
      <w:r w:rsidR="00427014" w:rsidRPr="00427014">
        <w:rPr>
          <w:rFonts w:ascii="仿宋_GB2312" w:eastAsia="仿宋_GB2312" w:hAnsi="黑体" w:cs="Times New Roman" w:hint="eastAsia"/>
          <w:sz w:val="32"/>
          <w:szCs w:val="32"/>
        </w:rPr>
        <w:t>3</w:t>
      </w:r>
    </w:p>
    <w:p w:rsidR="0024283D" w:rsidRPr="00474E69" w:rsidRDefault="0024283D" w:rsidP="0024283D">
      <w:pPr>
        <w:pStyle w:val="a6"/>
        <w:spacing w:line="560" w:lineRule="exact"/>
        <w:jc w:val="center"/>
        <w:rPr>
          <w:rFonts w:ascii="方正小标宋简体" w:eastAsia="方正小标宋简体" w:hAnsi="黑体" w:cs="Times New Roman"/>
          <w:sz w:val="44"/>
          <w:szCs w:val="44"/>
        </w:rPr>
      </w:pPr>
      <w:r w:rsidRPr="00474E69">
        <w:rPr>
          <w:rFonts w:ascii="方正小标宋简体" w:eastAsia="方正小标宋简体" w:hAnsi="黑体" w:cs="Times New Roman" w:hint="eastAsia"/>
          <w:sz w:val="44"/>
          <w:szCs w:val="44"/>
        </w:rPr>
        <w:t>厦门大学研究生指导教师</w:t>
      </w:r>
    </w:p>
    <w:p w:rsidR="0024283D" w:rsidRPr="00474E69" w:rsidRDefault="0024283D" w:rsidP="0024283D">
      <w:pPr>
        <w:pStyle w:val="a6"/>
        <w:spacing w:line="560" w:lineRule="exact"/>
        <w:jc w:val="center"/>
        <w:rPr>
          <w:rFonts w:ascii="方正小标宋简体" w:eastAsia="方正小标宋简体" w:hAnsi="黑体" w:cs="Times New Roman"/>
          <w:sz w:val="44"/>
          <w:szCs w:val="44"/>
        </w:rPr>
      </w:pPr>
      <w:r w:rsidRPr="00474E69">
        <w:rPr>
          <w:rFonts w:ascii="方正小标宋简体" w:eastAsia="方正小标宋简体" w:hAnsi="黑体" w:cs="Times New Roman" w:hint="eastAsia"/>
          <w:sz w:val="44"/>
          <w:szCs w:val="44"/>
        </w:rPr>
        <w:t>招生资格确认工作实施细则</w:t>
      </w:r>
    </w:p>
    <w:p w:rsidR="0024283D" w:rsidRPr="00474E69" w:rsidRDefault="0024283D" w:rsidP="0024283D">
      <w:pPr>
        <w:pStyle w:val="a6"/>
        <w:spacing w:line="560" w:lineRule="exact"/>
        <w:jc w:val="center"/>
        <w:rPr>
          <w:rFonts w:ascii="Times New Roman" w:eastAsia="仿宋" w:hAnsi="Times New Roman" w:cs="Times New Roman"/>
          <w:sz w:val="32"/>
          <w:szCs w:val="32"/>
        </w:rPr>
      </w:pP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为加强我校研究生指导教师队伍建设，全面落实研究生导师立德树人职责，根据国务院学位委员会、教育部有关文件精神，制定本实施细则。</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一、基本条件</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1.</w:t>
      </w:r>
      <w:r w:rsidRPr="00474E69">
        <w:rPr>
          <w:rFonts w:eastAsia="仿宋"/>
          <w:sz w:val="32"/>
          <w:szCs w:val="32"/>
        </w:rPr>
        <w:t>政治素质过硬，师德师风高尚，业务素质精湛；</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2.</w:t>
      </w:r>
      <w:r w:rsidRPr="00474E69">
        <w:rPr>
          <w:rFonts w:eastAsia="仿宋"/>
          <w:sz w:val="32"/>
          <w:szCs w:val="32"/>
        </w:rPr>
        <w:t>我校专任教师或非全职教师；</w:t>
      </w:r>
    </w:p>
    <w:p w:rsidR="0024283D" w:rsidRPr="00474E69" w:rsidRDefault="0024283D" w:rsidP="0024283D">
      <w:pPr>
        <w:spacing w:line="560" w:lineRule="exact"/>
        <w:ind w:firstLineChars="200" w:firstLine="640"/>
        <w:rPr>
          <w:rFonts w:eastAsia="仿宋"/>
          <w:sz w:val="32"/>
          <w:szCs w:val="32"/>
          <w:u w:color="FF0000"/>
        </w:rPr>
      </w:pPr>
      <w:r w:rsidRPr="00474E69">
        <w:rPr>
          <w:rFonts w:eastAsia="仿宋"/>
          <w:sz w:val="32"/>
          <w:szCs w:val="32"/>
          <w:u w:color="FF0000"/>
        </w:rPr>
        <w:t>3.</w:t>
      </w:r>
      <w:r w:rsidRPr="00474E69">
        <w:rPr>
          <w:rFonts w:eastAsia="仿宋"/>
          <w:sz w:val="32"/>
          <w:szCs w:val="32"/>
          <w:u w:color="FF0000"/>
        </w:rPr>
        <w:t>认真履行导师立德树人职责，当好研究生培养第一责任人；</w:t>
      </w:r>
      <w:r w:rsidRPr="00474E69" w:rsidDel="008D3BDA">
        <w:rPr>
          <w:rFonts w:eastAsia="仿宋"/>
          <w:sz w:val="32"/>
          <w:szCs w:val="32"/>
          <w:u w:color="FF0000"/>
        </w:rPr>
        <w:t xml:space="preserve"> </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u w:color="FF0000"/>
        </w:rPr>
        <w:t>4.</w:t>
      </w:r>
      <w:r w:rsidRPr="00474E69">
        <w:rPr>
          <w:rFonts w:eastAsia="仿宋"/>
          <w:sz w:val="32"/>
          <w:szCs w:val="32"/>
        </w:rPr>
        <w:t>能够为研究生培养提供优良的条件</w:t>
      </w:r>
      <w:r w:rsidRPr="00474E69">
        <w:rPr>
          <w:rFonts w:eastAsia="仿宋"/>
          <w:sz w:val="32"/>
          <w:szCs w:val="32"/>
          <w:u w:color="FF0000"/>
        </w:rPr>
        <w:t>，并</w:t>
      </w:r>
      <w:r w:rsidRPr="00474E69">
        <w:rPr>
          <w:rFonts w:eastAsia="仿宋"/>
          <w:sz w:val="32"/>
          <w:szCs w:val="32"/>
        </w:rPr>
        <w:t>按学校相关规定提供导师配套费。</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二、具体要求</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1.</w:t>
      </w:r>
      <w:r w:rsidRPr="00474E69">
        <w:rPr>
          <w:rFonts w:eastAsia="仿宋"/>
          <w:sz w:val="32"/>
          <w:szCs w:val="32"/>
        </w:rPr>
        <w:t>博士生指导教师（含专业学位）</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申请人应是我校博士生指导教师，有一定的科研成果和在研科研项目，具体要求由各学位评定分委员会制定并公布。</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根据我校学科建设、导师队伍建设和博士生招生指标的现状，非全职博士生指导教师在我校原则上每</w:t>
      </w:r>
      <w:r w:rsidRPr="00474E69">
        <w:rPr>
          <w:rFonts w:eastAsia="仿宋"/>
          <w:sz w:val="32"/>
          <w:szCs w:val="32"/>
        </w:rPr>
        <w:t>3</w:t>
      </w:r>
      <w:r w:rsidRPr="00474E69">
        <w:rPr>
          <w:rFonts w:eastAsia="仿宋"/>
          <w:sz w:val="32"/>
          <w:szCs w:val="32"/>
        </w:rPr>
        <w:t>年至多招收</w:t>
      </w:r>
      <w:r w:rsidRPr="00474E69">
        <w:rPr>
          <w:rFonts w:eastAsia="仿宋"/>
          <w:sz w:val="32"/>
          <w:szCs w:val="32"/>
        </w:rPr>
        <w:t>1</w:t>
      </w:r>
      <w:r w:rsidRPr="00474E69">
        <w:rPr>
          <w:rFonts w:eastAsia="仿宋"/>
          <w:sz w:val="32"/>
          <w:szCs w:val="32"/>
        </w:rPr>
        <w:t>名博士生。</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2.</w:t>
      </w:r>
      <w:r w:rsidRPr="00474E69">
        <w:rPr>
          <w:rFonts w:eastAsia="仿宋"/>
          <w:sz w:val="32"/>
          <w:szCs w:val="32"/>
        </w:rPr>
        <w:t>学术型硕士生指导教师</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w:t>
      </w:r>
      <w:r w:rsidRPr="00474E69">
        <w:rPr>
          <w:rFonts w:eastAsia="仿宋"/>
          <w:sz w:val="32"/>
          <w:szCs w:val="32"/>
        </w:rPr>
        <w:t>1</w:t>
      </w:r>
      <w:r w:rsidRPr="00474E69">
        <w:rPr>
          <w:rFonts w:eastAsia="仿宋"/>
          <w:sz w:val="32"/>
          <w:szCs w:val="32"/>
        </w:rPr>
        <w:t>）申请人一般应具有高级专业技术职务或博士学位，具</w:t>
      </w:r>
      <w:r w:rsidRPr="00474E69">
        <w:rPr>
          <w:rFonts w:eastAsia="仿宋"/>
          <w:sz w:val="32"/>
          <w:szCs w:val="32"/>
        </w:rPr>
        <w:lastRenderedPageBreak/>
        <w:t>有较高的学术水平；</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w:t>
      </w:r>
      <w:r w:rsidRPr="00474E69">
        <w:rPr>
          <w:rFonts w:eastAsia="仿宋"/>
          <w:sz w:val="32"/>
          <w:szCs w:val="32"/>
        </w:rPr>
        <w:t>2</w:t>
      </w:r>
      <w:r w:rsidRPr="00474E69">
        <w:rPr>
          <w:rFonts w:eastAsia="仿宋"/>
          <w:sz w:val="32"/>
          <w:szCs w:val="32"/>
        </w:rPr>
        <w:t>）有教学经验，能承担相关硕士生课程；</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w:t>
      </w:r>
      <w:r w:rsidRPr="00474E69">
        <w:rPr>
          <w:rFonts w:eastAsia="仿宋"/>
          <w:sz w:val="32"/>
          <w:szCs w:val="32"/>
        </w:rPr>
        <w:t>3</w:t>
      </w:r>
      <w:r w:rsidRPr="00474E69">
        <w:rPr>
          <w:rFonts w:eastAsia="仿宋"/>
          <w:sz w:val="32"/>
          <w:szCs w:val="32"/>
        </w:rPr>
        <w:t>）有在研科研项目或教学科研成果，具体要求由各学位评定分委员会（工作小组）制定并公布。</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3.</w:t>
      </w:r>
      <w:r w:rsidRPr="00474E69">
        <w:rPr>
          <w:rFonts w:eastAsia="仿宋"/>
          <w:sz w:val="32"/>
          <w:szCs w:val="32"/>
        </w:rPr>
        <w:t>专业学位硕士生指导教师</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w:t>
      </w:r>
      <w:r w:rsidRPr="00474E69">
        <w:rPr>
          <w:rFonts w:eastAsia="仿宋"/>
          <w:sz w:val="32"/>
          <w:szCs w:val="32"/>
        </w:rPr>
        <w:t>1</w:t>
      </w:r>
      <w:r w:rsidRPr="00474E69">
        <w:rPr>
          <w:rFonts w:eastAsia="仿宋"/>
          <w:sz w:val="32"/>
          <w:szCs w:val="32"/>
        </w:rPr>
        <w:t>）申请人一般应具有高级专业技术职务</w:t>
      </w:r>
      <w:r w:rsidRPr="00474E69">
        <w:rPr>
          <w:rFonts w:eastAsia="仿宋"/>
          <w:sz w:val="32"/>
          <w:szCs w:val="32"/>
        </w:rPr>
        <w:t>,</w:t>
      </w:r>
      <w:r w:rsidRPr="00474E69">
        <w:rPr>
          <w:rFonts w:eastAsia="仿宋"/>
          <w:sz w:val="32"/>
          <w:szCs w:val="32"/>
        </w:rPr>
        <w:t>有丰富的实践经验、较高的学术水平或技术专长</w:t>
      </w:r>
      <w:r w:rsidRPr="00474E69">
        <w:rPr>
          <w:rFonts w:eastAsia="仿宋"/>
          <w:sz w:val="32"/>
          <w:szCs w:val="32"/>
        </w:rPr>
        <w:t>;</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w:t>
      </w:r>
      <w:r w:rsidRPr="00474E69">
        <w:rPr>
          <w:rFonts w:eastAsia="仿宋"/>
          <w:sz w:val="32"/>
          <w:szCs w:val="32"/>
        </w:rPr>
        <w:t>2</w:t>
      </w:r>
      <w:r w:rsidRPr="00474E69">
        <w:rPr>
          <w:rFonts w:eastAsia="仿宋"/>
          <w:sz w:val="32"/>
          <w:szCs w:val="32"/>
        </w:rPr>
        <w:t>）有明确和相对稳定的专业研究领域，熟悉本领域的国内外研究动态和学术、技术前沿状况，在本领域取得过较好的学术成果或工作成就，具体要求由各学位评定分委员会（工作小组）制定并公布</w:t>
      </w:r>
      <w:r w:rsidRPr="00474E69">
        <w:rPr>
          <w:rFonts w:eastAsia="仿宋"/>
          <w:sz w:val="32"/>
          <w:szCs w:val="32"/>
        </w:rPr>
        <w:t>;</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w:t>
      </w:r>
      <w:r w:rsidRPr="00474E69">
        <w:rPr>
          <w:rFonts w:eastAsia="仿宋"/>
          <w:sz w:val="32"/>
          <w:szCs w:val="32"/>
        </w:rPr>
        <w:t>3</w:t>
      </w:r>
      <w:r w:rsidRPr="00474E69">
        <w:rPr>
          <w:rFonts w:eastAsia="仿宋"/>
          <w:sz w:val="32"/>
          <w:szCs w:val="32"/>
        </w:rPr>
        <w:t>）非全职专业学位硕士生导师应是在业界有一定影响力的专家，与我校相关专业学位培养单位有稳定的教学、科研或实习的合作关系。</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4.</w:t>
      </w:r>
      <w:r w:rsidRPr="00474E69">
        <w:rPr>
          <w:rFonts w:eastAsia="仿宋"/>
          <w:sz w:val="32"/>
          <w:szCs w:val="32"/>
        </w:rPr>
        <w:t>其它要求</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申请招生资格确认的导师，原则上应能够在学校规定的退休年龄前完整指导一届研究生。</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新任研究生指导教师在正式上岗前应按要求参加导师培训。</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非全职导师招收研究生，需由学院落实</w:t>
      </w:r>
      <w:r w:rsidRPr="00474E69">
        <w:rPr>
          <w:rFonts w:eastAsia="仿宋"/>
          <w:sz w:val="32"/>
          <w:szCs w:val="32"/>
        </w:rPr>
        <w:t>1</w:t>
      </w:r>
      <w:r w:rsidRPr="00474E69">
        <w:rPr>
          <w:rFonts w:eastAsia="仿宋"/>
          <w:sz w:val="32"/>
          <w:szCs w:val="32"/>
        </w:rPr>
        <w:t>名校内全职导师协助其做好研究生培养管理工作。</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三、工作程序</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研究生院每年组织开展研究生指导教师招生资格确认工作，</w:t>
      </w:r>
      <w:r w:rsidRPr="00474E69">
        <w:rPr>
          <w:rFonts w:eastAsia="仿宋"/>
          <w:sz w:val="32"/>
          <w:szCs w:val="32"/>
        </w:rPr>
        <w:lastRenderedPageBreak/>
        <w:t>凡下一年度拟招收研究生的导师均需申请招生资格确认。</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1.</w:t>
      </w:r>
      <w:r w:rsidRPr="00474E69">
        <w:rPr>
          <w:rFonts w:eastAsia="仿宋"/>
          <w:sz w:val="32"/>
          <w:szCs w:val="32"/>
        </w:rPr>
        <w:t>本人申请</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申请人根据各学位评定分委员会的要求向院（系、所）提出申请并提交相关申请材料。</w:t>
      </w:r>
    </w:p>
    <w:p w:rsidR="0024283D" w:rsidRPr="00474E69" w:rsidRDefault="0024283D" w:rsidP="0024283D">
      <w:pPr>
        <w:spacing w:line="560" w:lineRule="exact"/>
        <w:ind w:firstLineChars="200" w:firstLine="640"/>
        <w:rPr>
          <w:rFonts w:eastAsia="仿宋"/>
          <w:sz w:val="32"/>
          <w:szCs w:val="32"/>
          <w:u w:color="FF0000"/>
        </w:rPr>
      </w:pPr>
      <w:r w:rsidRPr="00474E69">
        <w:rPr>
          <w:rFonts w:eastAsia="仿宋"/>
          <w:sz w:val="32"/>
          <w:szCs w:val="32"/>
          <w:u w:color="FF0000"/>
        </w:rPr>
        <w:t>2.</w:t>
      </w:r>
      <w:r w:rsidRPr="00474E69">
        <w:rPr>
          <w:rFonts w:eastAsia="仿宋"/>
          <w:sz w:val="32"/>
          <w:szCs w:val="32"/>
          <w:u w:color="FF0000"/>
        </w:rPr>
        <w:t>学院审核</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u w:color="FF0000"/>
        </w:rPr>
        <w:t>学院对申请人申请条件进行核查。学院党委重点对申请人政治表现、师德师风、学术诚信等方面进行把关，</w:t>
      </w:r>
      <w:r w:rsidRPr="00474E69">
        <w:rPr>
          <w:rFonts w:eastAsia="仿宋"/>
          <w:sz w:val="32"/>
          <w:szCs w:val="32"/>
        </w:rPr>
        <w:t>对违反师德行为者，实行一票否决</w:t>
      </w:r>
      <w:r w:rsidRPr="00474E69">
        <w:rPr>
          <w:rFonts w:eastAsia="仿宋"/>
          <w:sz w:val="32"/>
          <w:szCs w:val="32"/>
          <w:u w:color="FF0000"/>
        </w:rPr>
        <w:t>。</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3.</w:t>
      </w:r>
      <w:r w:rsidRPr="00474E69">
        <w:rPr>
          <w:rFonts w:eastAsia="仿宋"/>
          <w:sz w:val="32"/>
          <w:szCs w:val="32"/>
        </w:rPr>
        <w:t>学位评定分委员会（工作小组）审议</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学位评定分委员会（工作小组）根据学科建设需要，结合学校、学院研究生教育、科研和人事管理的相关规定，对相关申请进行条件审核，并审议表决。</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4.</w:t>
      </w:r>
      <w:r w:rsidRPr="00474E69">
        <w:rPr>
          <w:rFonts w:eastAsia="仿宋"/>
          <w:sz w:val="32"/>
          <w:szCs w:val="32"/>
        </w:rPr>
        <w:t>学位评定分委员会（工作小组）将审议表决结果报研究生院、党委教师工作部、人事处及招生办等部门备案审核并予以公布。</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四、招生资格暂停措施</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1.</w:t>
      </w:r>
      <w:r w:rsidRPr="00474E69">
        <w:rPr>
          <w:rFonts w:eastAsia="仿宋"/>
          <w:sz w:val="32"/>
          <w:szCs w:val="32"/>
        </w:rPr>
        <w:t>研究生指导教师违反师德师风、学术道德规范的，将暂停其招生资格，暂停年限视具体情节严重程度而定；</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2.</w:t>
      </w:r>
      <w:r w:rsidRPr="00474E69">
        <w:rPr>
          <w:rFonts w:eastAsia="仿宋"/>
          <w:sz w:val="32"/>
          <w:szCs w:val="32"/>
        </w:rPr>
        <w:t>研究生指导教师未能履行导师立德树人职责的，将视情况严重程度采取限招或停招等处理措施；</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3.</w:t>
      </w:r>
      <w:r w:rsidRPr="00474E69">
        <w:rPr>
          <w:rFonts w:eastAsia="仿宋"/>
          <w:sz w:val="32"/>
          <w:szCs w:val="32"/>
        </w:rPr>
        <w:t>指导的研究生学位论文在国务院教育督导委员会办公室或福建省学位委员会办公室论文抽检中，抽检结果为</w:t>
      </w:r>
      <w:r w:rsidRPr="00474E69">
        <w:rPr>
          <w:rFonts w:eastAsia="仿宋"/>
          <w:sz w:val="32"/>
          <w:szCs w:val="32"/>
        </w:rPr>
        <w:t>“</w:t>
      </w:r>
      <w:r w:rsidRPr="00474E69">
        <w:rPr>
          <w:rFonts w:eastAsia="仿宋"/>
          <w:sz w:val="32"/>
          <w:szCs w:val="32"/>
        </w:rPr>
        <w:t>存在问题</w:t>
      </w:r>
      <w:r w:rsidRPr="00474E69">
        <w:rPr>
          <w:rFonts w:eastAsia="仿宋"/>
          <w:sz w:val="32"/>
          <w:szCs w:val="32"/>
        </w:rPr>
        <w:lastRenderedPageBreak/>
        <w:t>论文</w:t>
      </w:r>
      <w:r w:rsidRPr="00474E69">
        <w:rPr>
          <w:rFonts w:eastAsia="仿宋"/>
          <w:sz w:val="32"/>
          <w:szCs w:val="32"/>
        </w:rPr>
        <w:t>”</w:t>
      </w:r>
      <w:r w:rsidRPr="00474E69">
        <w:rPr>
          <w:rFonts w:eastAsia="仿宋"/>
          <w:sz w:val="32"/>
          <w:szCs w:val="32"/>
        </w:rPr>
        <w:t>，其指导教师的下一年度招生资格暂停一年；指导的研究生学位论文因学术不端被取消学位，其指导教师自下一年度起招生资格暂停三年；</w:t>
      </w:r>
    </w:p>
    <w:p w:rsidR="0024283D" w:rsidRPr="00474E69" w:rsidRDefault="0024283D" w:rsidP="0024283D">
      <w:pPr>
        <w:spacing w:line="560" w:lineRule="exact"/>
        <w:ind w:firstLineChars="200" w:firstLine="640"/>
        <w:rPr>
          <w:rFonts w:eastAsia="仿宋"/>
          <w:sz w:val="32"/>
          <w:szCs w:val="32"/>
          <w:u w:color="FF0000"/>
        </w:rPr>
      </w:pPr>
      <w:r w:rsidRPr="00474E69">
        <w:rPr>
          <w:rFonts w:eastAsia="仿宋"/>
          <w:sz w:val="32"/>
          <w:szCs w:val="32"/>
        </w:rPr>
        <w:t>4.</w:t>
      </w:r>
      <w:r w:rsidRPr="00474E69">
        <w:rPr>
          <w:rFonts w:eastAsia="仿宋"/>
          <w:sz w:val="32"/>
          <w:szCs w:val="32"/>
        </w:rPr>
        <w:t>其它特殊情形，将视具体情况提交校学位评定委员会审议处理。</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五、本细则于</w:t>
      </w:r>
      <w:r w:rsidRPr="00474E69">
        <w:rPr>
          <w:rFonts w:eastAsia="仿宋"/>
          <w:sz w:val="32"/>
          <w:szCs w:val="32"/>
        </w:rPr>
        <w:t>2018</w:t>
      </w:r>
      <w:r w:rsidRPr="00474E69">
        <w:rPr>
          <w:rFonts w:eastAsia="仿宋"/>
          <w:sz w:val="32"/>
          <w:szCs w:val="32"/>
        </w:rPr>
        <w:t>年</w:t>
      </w:r>
      <w:r w:rsidRPr="00474E69">
        <w:rPr>
          <w:rFonts w:eastAsia="仿宋"/>
          <w:sz w:val="32"/>
          <w:szCs w:val="32"/>
        </w:rPr>
        <w:t>11</w:t>
      </w:r>
      <w:r w:rsidRPr="00474E69">
        <w:rPr>
          <w:rFonts w:eastAsia="仿宋"/>
          <w:sz w:val="32"/>
          <w:szCs w:val="32"/>
        </w:rPr>
        <w:t>月</w:t>
      </w:r>
      <w:r w:rsidRPr="00474E69">
        <w:rPr>
          <w:rFonts w:eastAsia="仿宋"/>
          <w:sz w:val="32"/>
          <w:szCs w:val="32"/>
        </w:rPr>
        <w:t>5</w:t>
      </w:r>
      <w:r w:rsidRPr="00474E69">
        <w:rPr>
          <w:rFonts w:eastAsia="仿宋"/>
          <w:sz w:val="32"/>
          <w:szCs w:val="32"/>
        </w:rPr>
        <w:t>日经校学位评定委员会全体会议审定，自公布之日起施行。原《厦门大学研究生指导教师招生资格确认工作实施细则》（厦大研〔</w:t>
      </w:r>
      <w:r w:rsidRPr="00474E69">
        <w:rPr>
          <w:rFonts w:eastAsia="仿宋"/>
          <w:sz w:val="32"/>
          <w:szCs w:val="32"/>
        </w:rPr>
        <w:t>2017</w:t>
      </w:r>
      <w:r w:rsidRPr="00474E69">
        <w:rPr>
          <w:rFonts w:eastAsia="仿宋"/>
          <w:sz w:val="32"/>
          <w:szCs w:val="32"/>
        </w:rPr>
        <w:t>〕</w:t>
      </w:r>
      <w:r w:rsidRPr="00474E69">
        <w:rPr>
          <w:rFonts w:eastAsia="仿宋"/>
          <w:sz w:val="32"/>
          <w:szCs w:val="32"/>
        </w:rPr>
        <w:t>55</w:t>
      </w:r>
      <w:r w:rsidRPr="00474E69">
        <w:rPr>
          <w:rFonts w:eastAsia="仿宋"/>
          <w:sz w:val="32"/>
          <w:szCs w:val="32"/>
        </w:rPr>
        <w:t>号）同时废止。</w:t>
      </w:r>
    </w:p>
    <w:p w:rsidR="0024283D" w:rsidRPr="00474E69" w:rsidRDefault="0024283D" w:rsidP="0024283D">
      <w:pPr>
        <w:spacing w:line="560" w:lineRule="exact"/>
        <w:ind w:firstLineChars="200" w:firstLine="640"/>
        <w:rPr>
          <w:rFonts w:eastAsia="仿宋"/>
          <w:sz w:val="32"/>
          <w:szCs w:val="32"/>
        </w:rPr>
      </w:pPr>
      <w:r w:rsidRPr="00474E69">
        <w:rPr>
          <w:rFonts w:eastAsia="仿宋"/>
          <w:sz w:val="32"/>
          <w:szCs w:val="32"/>
        </w:rPr>
        <w:t>六、本细则由研究生院负责解释。</w:t>
      </w:r>
    </w:p>
    <w:p w:rsidR="0024283D" w:rsidRPr="00474E69" w:rsidRDefault="0024283D" w:rsidP="0024283D">
      <w:pPr>
        <w:widowControl/>
        <w:adjustRightInd w:val="0"/>
        <w:spacing w:line="560" w:lineRule="exact"/>
        <w:contextualSpacing/>
        <w:rPr>
          <w:rFonts w:eastAsia="仿宋"/>
          <w:sz w:val="32"/>
          <w:szCs w:val="32"/>
        </w:rPr>
      </w:pPr>
      <w:r w:rsidRPr="00474E69">
        <w:rPr>
          <w:rFonts w:eastAsia="仿宋"/>
          <w:noProof/>
          <w:sz w:val="32"/>
          <w:szCs w:val="32"/>
        </w:rP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margin">
                  <wp:align>bottom</wp:align>
                </wp:positionV>
                <wp:extent cx="5615940" cy="504190"/>
                <wp:effectExtent l="0" t="254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4422"/>
                            </w:tblGrid>
                            <w:tr w:rsidR="0024283D" w:rsidRPr="00627CAC" w:rsidTr="000F0D2C">
                              <w:trPr>
                                <w:trHeight w:val="567"/>
                              </w:trPr>
                              <w:tc>
                                <w:tcPr>
                                  <w:tcW w:w="4422" w:type="dxa"/>
                                  <w:tcBorders>
                                    <w:top w:val="single" w:sz="12" w:space="0" w:color="auto"/>
                                    <w:left w:val="nil"/>
                                    <w:bottom w:val="single" w:sz="12" w:space="0" w:color="auto"/>
                                    <w:right w:val="nil"/>
                                  </w:tcBorders>
                                  <w:vAlign w:val="center"/>
                                </w:tcPr>
                                <w:p w:rsidR="0024283D" w:rsidRPr="00627CAC" w:rsidRDefault="0024283D" w:rsidP="000F0D2C">
                                  <w:pPr>
                                    <w:ind w:leftChars="100" w:left="210"/>
                                    <w:rPr>
                                      <w:rFonts w:ascii="仿宋" w:eastAsia="仿宋" w:hAnsi="仿宋"/>
                                      <w:sz w:val="28"/>
                                    </w:rPr>
                                  </w:pPr>
                                  <w:r w:rsidRPr="00627CAC">
                                    <w:rPr>
                                      <w:rFonts w:ascii="仿宋" w:eastAsia="仿宋" w:hAnsi="仿宋" w:hint="eastAsia"/>
                                      <w:sz w:val="28"/>
                                    </w:rPr>
                                    <w:t>厦门大学办公室</w:t>
                                  </w:r>
                                </w:p>
                              </w:tc>
                              <w:tc>
                                <w:tcPr>
                                  <w:tcW w:w="4422" w:type="dxa"/>
                                  <w:tcBorders>
                                    <w:top w:val="single" w:sz="12" w:space="0" w:color="auto"/>
                                    <w:left w:val="nil"/>
                                    <w:bottom w:val="single" w:sz="12" w:space="0" w:color="auto"/>
                                    <w:right w:val="nil"/>
                                  </w:tcBorders>
                                  <w:vAlign w:val="center"/>
                                </w:tcPr>
                                <w:p w:rsidR="0024283D" w:rsidRPr="00627CAC" w:rsidRDefault="0024283D" w:rsidP="000F0D2C">
                                  <w:pPr>
                                    <w:ind w:rightChars="100" w:right="210"/>
                                    <w:jc w:val="right"/>
                                    <w:rPr>
                                      <w:rFonts w:ascii="仿宋" w:eastAsia="仿宋" w:hAnsi="仿宋"/>
                                      <w:sz w:val="28"/>
                                    </w:rPr>
                                  </w:pPr>
                                  <w:bookmarkStart w:id="1" w:name="printdate"/>
                                  <w:r>
                                    <w:rPr>
                                      <w:rFonts w:ascii="仿宋" w:eastAsia="仿宋" w:hAnsi="仿宋"/>
                                      <w:sz w:val="28"/>
                                    </w:rPr>
                                    <w:t>2018年11月11日</w:t>
                                  </w:r>
                                  <w:bookmarkEnd w:id="1"/>
                                  <w:r w:rsidRPr="00627CAC">
                                    <w:rPr>
                                      <w:rFonts w:ascii="仿宋" w:eastAsia="仿宋" w:hAnsi="仿宋" w:hint="eastAsia"/>
                                      <w:sz w:val="28"/>
                                    </w:rPr>
                                    <w:t>印发</w:t>
                                  </w:r>
                                </w:p>
                              </w:tc>
                            </w:tr>
                          </w:tbl>
                          <w:p w:rsidR="0024283D" w:rsidRDefault="0024283D" w:rsidP="002428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5pt;margin-top:0;width:442.2pt;height:39.7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" stroked="f">
                <v:textbox>
                  <w:txbxContent>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4422"/>
                      </w:tblGrid>
                      <w:tr w:rsidR="0024283D" w:rsidRPr="00627CAC" w:rsidTr="000F0D2C">
                        <w:trPr>
                          <w:trHeight w:val="567"/>
                        </w:trPr>
                        <w:tc>
                          <w:tcPr>
                            <w:tcW w:w="4422" w:type="dxa"/>
                            <w:tcBorders>
                              <w:top w:val="single" w:sz="12" w:space="0" w:color="auto"/>
                              <w:left w:val="nil"/>
                              <w:bottom w:val="single" w:sz="12" w:space="0" w:color="auto"/>
                              <w:right w:val="nil"/>
                            </w:tcBorders>
                            <w:vAlign w:val="center"/>
                          </w:tcPr>
                          <w:p w:rsidR="0024283D" w:rsidRPr="00627CAC" w:rsidRDefault="0024283D" w:rsidP="000F0D2C">
                            <w:pPr>
                              <w:ind w:leftChars="100" w:left="210"/>
                              <w:rPr>
                                <w:rFonts w:ascii="仿宋" w:eastAsia="仿宋" w:hAnsi="仿宋"/>
                                <w:sz w:val="28"/>
                              </w:rPr>
                            </w:pPr>
                            <w:r w:rsidRPr="00627CAC">
                              <w:rPr>
                                <w:rFonts w:ascii="仿宋" w:eastAsia="仿宋" w:hAnsi="仿宋" w:hint="eastAsia"/>
                                <w:sz w:val="28"/>
                              </w:rPr>
                              <w:t>厦门大学办公室</w:t>
                            </w:r>
                          </w:p>
                        </w:tc>
                        <w:tc>
                          <w:tcPr>
                            <w:tcW w:w="4422" w:type="dxa"/>
                            <w:tcBorders>
                              <w:top w:val="single" w:sz="12" w:space="0" w:color="auto"/>
                              <w:left w:val="nil"/>
                              <w:bottom w:val="single" w:sz="12" w:space="0" w:color="auto"/>
                              <w:right w:val="nil"/>
                            </w:tcBorders>
                            <w:vAlign w:val="center"/>
                          </w:tcPr>
                          <w:p w:rsidR="0024283D" w:rsidRPr="00627CAC" w:rsidRDefault="0024283D" w:rsidP="000F0D2C">
                            <w:pPr>
                              <w:ind w:rightChars="100" w:right="210"/>
                              <w:jc w:val="right"/>
                              <w:rPr>
                                <w:rFonts w:ascii="仿宋" w:eastAsia="仿宋" w:hAnsi="仿宋"/>
                                <w:sz w:val="28"/>
                              </w:rPr>
                            </w:pPr>
                            <w:bookmarkStart w:id="2" w:name="printdate"/>
                            <w:r>
                              <w:rPr>
                                <w:rFonts w:ascii="仿宋" w:eastAsia="仿宋" w:hAnsi="仿宋"/>
                                <w:sz w:val="28"/>
                              </w:rPr>
                              <w:t>2018年11月11日</w:t>
                            </w:r>
                            <w:bookmarkEnd w:id="2"/>
                            <w:r w:rsidRPr="00627CAC">
                              <w:rPr>
                                <w:rFonts w:ascii="仿宋" w:eastAsia="仿宋" w:hAnsi="仿宋" w:hint="eastAsia"/>
                                <w:sz w:val="28"/>
                              </w:rPr>
                              <w:t>印发</w:t>
                            </w:r>
                          </w:p>
                        </w:tc>
                      </w:tr>
                    </w:tbl>
                    <w:p w:rsidR="0024283D" w:rsidRDefault="0024283D" w:rsidP="0024283D"/>
                  </w:txbxContent>
                </v:textbox>
                <w10:wrap type="square" anchorx="margin" anchory="margin"/>
              </v:shape>
            </w:pict>
          </mc:Fallback>
        </mc:AlternateContent>
      </w:r>
    </w:p>
    <w:p w:rsidR="005D4B67" w:rsidRPr="0024283D" w:rsidRDefault="005D4B67"/>
    <w:sectPr w:rsidR="005D4B67" w:rsidRPr="0024283D" w:rsidSect="008B41BF">
      <w:footerReference w:type="even" r:id="rId6"/>
      <w:footerReference w:type="default" r:id="rId7"/>
      <w:footerReference w:type="first" r:id="rId8"/>
      <w:pgSz w:w="11906" w:h="16838" w:code="9"/>
      <w:pgMar w:top="2098" w:right="1474" w:bottom="1985" w:left="1588" w:header="851" w:footer="1418" w:gutter="0"/>
      <w:pgNumType w:fmt="numberInDash"/>
      <w:cols w:space="720"/>
      <w:titlePg/>
      <w:docGrid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A8F" w:rsidRDefault="005B7A8F">
      <w:r>
        <w:separator/>
      </w:r>
    </w:p>
  </w:endnote>
  <w:endnote w:type="continuationSeparator" w:id="0">
    <w:p w:rsidR="005B7A8F" w:rsidRDefault="005B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C" w:rsidRDefault="0024283D">
    <w:pPr>
      <w:pStyle w:val="a4"/>
      <w:framePr w:h="0"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0F0D2C" w:rsidRDefault="005B7A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C" w:rsidRDefault="0024283D" w:rsidP="00BD0FB5">
    <w:pPr>
      <w:pStyle w:val="a4"/>
      <w:ind w:firstLineChars="94" w:firstLine="263"/>
      <w:jc w:val="center"/>
    </w:pPr>
    <w:r w:rsidRPr="00ED29DD">
      <w:rPr>
        <w:sz w:val="28"/>
        <w:szCs w:val="28"/>
      </w:rPr>
      <w:fldChar w:fldCharType="begin"/>
    </w:r>
    <w:r w:rsidRPr="00ED29DD">
      <w:rPr>
        <w:sz w:val="28"/>
        <w:szCs w:val="28"/>
      </w:rPr>
      <w:instrText>PAGE   \* MERGEFORMAT</w:instrText>
    </w:r>
    <w:r w:rsidRPr="00ED29DD">
      <w:rPr>
        <w:sz w:val="28"/>
        <w:szCs w:val="28"/>
      </w:rPr>
      <w:fldChar w:fldCharType="separate"/>
    </w:r>
    <w:r w:rsidR="00564BE7" w:rsidRPr="00564BE7">
      <w:rPr>
        <w:noProof/>
        <w:sz w:val="28"/>
        <w:szCs w:val="28"/>
        <w:lang w:val="zh-CN"/>
      </w:rPr>
      <w:t>-</w:t>
    </w:r>
    <w:r w:rsidR="00564BE7">
      <w:rPr>
        <w:noProof/>
        <w:sz w:val="28"/>
        <w:szCs w:val="28"/>
      </w:rPr>
      <w:t xml:space="preserve"> 4 -</w:t>
    </w:r>
    <w:r w:rsidRPr="00ED29DD">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D2C" w:rsidRDefault="005B7A8F" w:rsidP="00BD0FB5">
    <w:pPr>
      <w:pStyle w:val="a4"/>
      <w:ind w:rightChars="161" w:right="338" w:firstLine="26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A8F" w:rsidRDefault="005B7A8F">
      <w:r>
        <w:separator/>
      </w:r>
    </w:p>
  </w:footnote>
  <w:footnote w:type="continuationSeparator" w:id="0">
    <w:p w:rsidR="005B7A8F" w:rsidRDefault="005B7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3D"/>
    <w:rsid w:val="0024283D"/>
    <w:rsid w:val="00427014"/>
    <w:rsid w:val="00564BE7"/>
    <w:rsid w:val="005B7A8F"/>
    <w:rsid w:val="005D4B67"/>
    <w:rsid w:val="0061787B"/>
    <w:rsid w:val="008B43A9"/>
    <w:rsid w:val="00C4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DB65B5-659F-4CF8-AD05-4EC454CD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8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24283D"/>
  </w:style>
  <w:style w:type="paragraph" w:styleId="a4">
    <w:name w:val="footer"/>
    <w:basedOn w:val="a"/>
    <w:link w:val="Char"/>
    <w:uiPriority w:val="99"/>
    <w:rsid w:val="0024283D"/>
    <w:pPr>
      <w:tabs>
        <w:tab w:val="center" w:pos="4153"/>
        <w:tab w:val="right" w:pos="8306"/>
      </w:tabs>
      <w:snapToGrid w:val="0"/>
      <w:jc w:val="left"/>
    </w:pPr>
    <w:rPr>
      <w:kern w:val="0"/>
      <w:sz w:val="18"/>
      <w:szCs w:val="18"/>
      <w:lang w:val="x-none" w:eastAsia="x-none"/>
    </w:rPr>
  </w:style>
  <w:style w:type="character" w:customStyle="1" w:styleId="a5">
    <w:name w:val="页脚 字符"/>
    <w:basedOn w:val="a0"/>
    <w:uiPriority w:val="99"/>
    <w:semiHidden/>
    <w:rsid w:val="0024283D"/>
    <w:rPr>
      <w:rFonts w:ascii="Times New Roman" w:eastAsia="宋体" w:hAnsi="Times New Roman" w:cs="Times New Roman"/>
      <w:sz w:val="18"/>
      <w:szCs w:val="18"/>
    </w:rPr>
  </w:style>
  <w:style w:type="character" w:customStyle="1" w:styleId="Char">
    <w:name w:val="页脚 Char"/>
    <w:link w:val="a4"/>
    <w:uiPriority w:val="99"/>
    <w:rsid w:val="0024283D"/>
    <w:rPr>
      <w:rFonts w:ascii="Times New Roman" w:eastAsia="宋体" w:hAnsi="Times New Roman" w:cs="Times New Roman"/>
      <w:kern w:val="0"/>
      <w:sz w:val="18"/>
      <w:szCs w:val="18"/>
      <w:lang w:val="x-none" w:eastAsia="x-none"/>
    </w:rPr>
  </w:style>
  <w:style w:type="paragraph" w:styleId="a6">
    <w:name w:val="Plain Text"/>
    <w:basedOn w:val="a"/>
    <w:link w:val="Char0"/>
    <w:rsid w:val="0024283D"/>
    <w:rPr>
      <w:rFonts w:ascii="宋体" w:hAnsi="Courier New" w:cs="Courier New"/>
      <w:szCs w:val="21"/>
    </w:rPr>
  </w:style>
  <w:style w:type="character" w:customStyle="1" w:styleId="Char0">
    <w:name w:val="纯文本 Char"/>
    <w:basedOn w:val="a0"/>
    <w:link w:val="a6"/>
    <w:rsid w:val="0024283D"/>
    <w:rPr>
      <w:rFonts w:ascii="宋体" w:eastAsia="宋体" w:hAnsi="Courier New" w:cs="Courier New"/>
      <w:szCs w:val="21"/>
    </w:rPr>
  </w:style>
  <w:style w:type="paragraph" w:styleId="a7">
    <w:name w:val="header"/>
    <w:basedOn w:val="a"/>
    <w:link w:val="Char1"/>
    <w:uiPriority w:val="99"/>
    <w:unhideWhenUsed/>
    <w:rsid w:val="006178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1787B"/>
    <w:rPr>
      <w:rFonts w:ascii="Times New Roman" w:eastAsia="宋体" w:hAnsi="Times New Roman" w:cs="Times New Roman"/>
      <w:sz w:val="18"/>
      <w:szCs w:val="18"/>
    </w:rPr>
  </w:style>
  <w:style w:type="paragraph" w:styleId="a8">
    <w:name w:val="Balloon Text"/>
    <w:basedOn w:val="a"/>
    <w:link w:val="Char2"/>
    <w:uiPriority w:val="99"/>
    <w:semiHidden/>
    <w:unhideWhenUsed/>
    <w:rsid w:val="0061787B"/>
    <w:rPr>
      <w:sz w:val="18"/>
      <w:szCs w:val="18"/>
    </w:rPr>
  </w:style>
  <w:style w:type="character" w:customStyle="1" w:styleId="Char2">
    <w:name w:val="批注框文本 Char"/>
    <w:basedOn w:val="a0"/>
    <w:link w:val="a8"/>
    <w:uiPriority w:val="99"/>
    <w:semiHidden/>
    <w:rsid w:val="006178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熊雨婷</dc:creator>
  <cp:keywords/>
  <dc:description/>
  <cp:lastModifiedBy>廖伟楠</cp:lastModifiedBy>
  <cp:revision>4</cp:revision>
  <cp:lastPrinted>2019-05-10T00:51:00Z</cp:lastPrinted>
  <dcterms:created xsi:type="dcterms:W3CDTF">2018-11-20T09:03:00Z</dcterms:created>
  <dcterms:modified xsi:type="dcterms:W3CDTF">2019-05-10T00:59:00Z</dcterms:modified>
</cp:coreProperties>
</file>